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11.03.2024 обратился в Верховный Суд Российской Федерации с жалобой на определение судьи Верховного Суда Российской Федерации от 04.03.2024 № 305-ЭС24-369, решение Арбитражного суда города Москвы от 16.05.2023, постановление Девятого арбитражного апелляционного суда от 26.07.2023 и постановление Арбитражного суда Московского округа от 01.11.2023 по делу № А40-296140/2022,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закрытого акционерного общества «ВИБА»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ОАО "ОРДЕНА ТРУДОВОГО КРАСНОГО ЗНАМЕНИ СПЕЦИАЛИЗИРОВАННЫЙ СТРОИТЕЛЬНО-МОНТАЖНЫЙ ТРЕСТ ПО ЭЛЕКТРИФИКАЦИИ МОСКОВСКОГО ЖЕЛЕЗНОДОРОЖНОГО УЗЛА ИМЕНИ В.Ю. АБДУРАХМАНОВА" (подробнее) Ответчики: Управление Федеральной службы государственной регистрации, кадастра и картографии по Москве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