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03.07.2023, оставленным без изменения постановлением Двенадцатого арбитражного апелляционного суда от 23.08.2023 и постановлением Арбитражного суда Поволжского округа от 10.11.2023, заявления удовлетворены в части исключения из реестра 754 973 рублей 06 копеек. В кассационной жалобе Коркотян В.В. просит об отмене судебных актов, ссылаясь на нерассмотрение доводов и рассмотрение дела в отсутствие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и отклонили доводы должника, указав на нахождение требования в реестре на основании решения суда, исполненного одним из солидарных должников на исключенную сумму. Другие доводы в отношении требования были предметом рассмотрения и признаны не влияющими на его судьбу. Отказ в отложении судебного заседания не является процессуальным нарушением.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Коркотяну Вагану Вазгеновичу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