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исследовав и оценив представленные в материалы дела доказательства, суд первой инстанции, руководствуясь статьями 309, 310, 702 Гражданского кодекса Российской Федерации, статьями 3, 7, 8 Федерального закона от 29.12.2012 № 275-ФЗ «О государственном оборонном заказе», принимая во внимание судебные акты по делу № А40-107992/2020, учитывая специфику бюджетного финансирования работ по государственному оборонному заказу, пришел к выводу об отсутствии оснований для удовлетворения исковых требований. Суды апелляционной инстанции и округа поддержали выводы суда первой инстанции. 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2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«Вита-Хауз»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