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Свердловской области определением от 30.12.2020, оставленным без изменения постановлением Семнадцатого арбитражного апелляционного суда от 18.03.2021, утвердил Положение о порядке, сроках и условиях продажи имущества должника. Арбитражный суд Уральского округа постановлением от 03.06.2021 определение от 30.12.2020 и постановление Семнадцатого арбитражного апелляционного суда от 18.03.2021 оставил без изменения. В кассационной жалобе ФИО1 просит об отмене судебных актов, ссылаясь на несоответствие их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финансового управляющего по выявлению и оценке имущества должника суды в силу статей 110, 111, 112, 139, 140, 213.25, 213.26 Федерального закона от 26.10.2002 № 127-ФЗ «О несостоятельности (банкротстве)» признали создающими условия для утверждения представленного управляющим Положения о порядке, сроках и условиях продажи имущества. Доводы заявителя были предметом рассмотрения судов и мотивированно отклонены.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АНО СОЮЗ МЕЖРЕГИОНАЛЬНЫЙ ЦЕНТР АРБИТРАЖНЫХ УПРАВЛЯЮЩИХ (подробнее) ПАО "Восточный экспресс банк" (подробнее) Иные лица: НП "Саморегулируемая организация арбитражных управляющих "Паритет" (подробнее) ОГИБДД МО МВД РОССИИ КРАСНОУФИМСКИЙ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