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07.04.2023, оставленным без изменения постановлениями Девятого арбитражного апелляционного суда от 05.09.2023 и Арбитражного суда Московского округа от 22.11.2023, заявление удовлетворено, признано недействительным соглашение об отступном; применены последствия недействительности сделки в виде взыскания с Маслова И.Г. рыночной стоимости квартиры в размере 6 550 000 рублей в конкурсную массу должника. В кассационной жалобе Маслов И.Г. просит об отмене судебных актов, ссылаясь на игнорирование установленного судом общей юрисдикции исполнения договоров займа и соглашения об отступном, нарушение правил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обстоятельства, создающие условия для недействительности соглашения об отступном в силу пункта 3 статьи 179 Гражданского кодекса Российской Федерации и применения последствий, предусмотренных пунктом 4 этой статьи, отличные от обстоятельств рассмотренного судом общей юрисдикции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Маслову Илье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