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09.10.2023, оставленным без изменения постановлением Девятого арбитражного апелляционного суда от 05.12.2023, в удовлетворении заявления отказано. 2 В кассационной жалобе финансовый управляющий просит отменить обжалуемые судебные акты, ссылаясь на игнорирование права управляющего на получение сведений и необходимости в них, позиции должника и принятые меры для внесудебного получения сведений.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недоказанными необходимость сведений и невозможность их самостоятельного получения.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Киселеву Дмитрию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