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08.09.2023, оставленным без изменения постановлением Девятого арбитражного апелляционного суда от 21.11.2023, в удовлетворении заявления отказано. В кассационной жалобе финансовый управляющий просит отменить судебные акты, ссылаясь на игнорирование права управляющего на получение сведений вне связи с конкретным спором.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2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истребуемые сведения имеют значение для уже рассмотренного спора, в рамках которого обсуждались основанные на сведениях обстоятельства, не получившие возражений и не оспоренные со стороны управляющего, не доказавшего невозможность самостоятельного получения сведений.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Киселеву Дмитрию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