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(согласно отчету об отслеживании отправления с почтовым идентификатором) 27.02.2024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2 статьями 259, 276, 291.2, 308.1 и 312 АПК РФ предельные допустимые сроки для восстановления. Последним обжалуемым судебным актом в рамках обособленного спора является постановление Арбитражного суда Московского округа от 25.12.2023, вступившее в законную силу, согласно части 5 статьи 289 АПК РФ, со дня его принятия – 25.12.2023, следовательно, двухмесячный срок на подачу кассационной жалобы истек 26.02.2024 (с учетом выходного дня), тогда как жалоба подана 27.02.2024. Одновременно с подачей жалобы Васильевым С.Б. заявлено ходатайство о восстановлении пропущенного процессуального срока. В качестве причины пропуска срока указаны загруженность на работе и большой объем дела. Между тем, указанные обстоятельства не свидетельствуют о невозможности своевременного обращения с кассационной жалобой и не являются уважительными причинами пропуска срока, установленного статьей 291.2 АПК РФ, поскольку Арбитражный суд Московского округа рассматривал в судебном заседании 20.12.2023 жалобу Васильева С.В., присутствовавшего в судебном заседании, информация о принятом судебном акте размещена судом кассационной инстанции своевременно – обжалуемое постановление окружного суда от 25.12.2023 опубликовано в информационно- телекоммуникационной сети «Интернет» 26.12.2023 в соответствии с пунктом 4.2 постановления Президиума Верховного Суда Российской Федерации от 27.09.2017 «Об утверждении Положения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 телекоммуникационной сети «Интернет» и с момента публикации судебного акта заявитель имел достаточный промежуток времени (два месяца) для подготовки и подачи кассационной жалобы в установленный процессуальным законодательством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Васильеву Станиславу Владимировичу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