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положениям пункта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принципа диспозитивности следует, что процессуальные отношения в арбитражном судопроизводстве возникают, изменяются и прекращаются по инициативе непосредственных участников спорных правоотношений. Данный принцип подразумевает свободу распоряжения лицами, участвующими в деле, принадлежащими им процессуальными правами и средствами защиты. Рассмотрев заявленное ходатайство, судья приходит к выводу о наличии оснований для его удовлетворения и возвращения кассационной жалобы без рассмотрения по существу. Заявитель как участник спорных правоотношений не имеет интереса в рассмотрении кассационной жалобы. Оснований полагать, что заявленный отказ от жалобы не соответствует положениям закона или затрагивает права иных лиц, не имеется. Руководствуясь статьями 184 , 2915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«НЕГУСНЕФТЬ» удовлетворить, кассационную жалобу возвратить заявителю без рассмотрения по существу. Судья Верховного Суда А.Г. Першутов Российской Федерации Суд: Верховный Суд РФ (подробнее) Истцы: АО "Негуснефть" (подробнее) Ответчики: Межрайонная инспекция Федеральной Налоговой службы по крупнейшим налогоплательщикам №3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