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17.03.2023, оставленным без изменения постановлением Второго арбитражного апелляционного суда от 18.09.2023 и постановлением Арбитражного суда Волго-Вятского округа от 11.12.2023, в удовлетворении заявления отказано. В кассационной жалобе Соколов Н.М. просит отменить судебные акты как незаконные и необоснованные.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заявления должника об исключении из конкурсной массы денежных средств, составляющих прожиточный минимум для него и ребенка, удовлетворены судом, но не исполнены в связи с отсутствием в конкурсной массе денежных средств, а не вследствие бездействия управляющих, поэтому отклонили заявление.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