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16.10.2023 оставленным без изменения постановлением Арбитражного суда Волго-Вятского округа от 21.12.2023, апелляционная жалоба Соколова Н.М. возвращена в связи с неустранением в установленный срок обстоятельств, послуживших основанием для оставления жалобы без движения. В кассационной жалобе Соколов Н.М.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Апелляционный суд возвратил жалобу в связи с неустраненными недостатками в ее оформлении в соответствии пунктом 5 части 1 статьи 264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