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22.06.2023, оставленным без изменения постановлением Второго арбитражного апелляционного суда от 31.08.2023 и постановлением Арбитражного суда Волго-Вятского округа от 04.12.2023, заявление возвращено. В кассационной жалобе Соколов Н.М.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 руководствовался статьями 32, 60 Федерального закона от 26.10.2002 № 127-ФЗ «О несостоятельности (банкротстве)», статьей 223 Арбитражного процессуального кодекса Российской Федерации и невозможностью рассмотрения заявления после завершения дела о банкротстве и прекращения полномочий финансового управляющего.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