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05.06.2023, оставленным без изменения постановлением Второго арбитражного апелляционного суда от 18.08.2023 и постановлением Арбитражного суда Волго-Вятского округа от 07.12.2023, заявление возвращено. В кассационной жалобе Соколов Н.М.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Установив, что должником не устранены обстоятельства, послужившие основанием для оставления заявления без движения в срок, установленный в определении суда, суд первой инстанции возвратил заявление в соответствии с пунктом 4 части 1 статьи 129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