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19.04.2023, оставленным без изменения постановлением Девятого арбитражного апелляционного суда от 05.07.2023 и постановлением Арбитражного суда Московского округа от 13.11.2023, требование в размере 947 855 рублей 23 копейки признано обоснованными и подлежащими включению в третью очередь реестра без права на участие в первом собрании кредиторов. В кассационной жалобе Ким С.А. просит об отмене судебных актов, ссылаясь на безусловные основания для отмены, отсутствие проверки обоснованности требований налогового органа.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привлечение Кима С.А, к субсидиарной ответственности по обязательствам общества «Диамант ЭКО» в деле № А42-71657/2015, судебным актом по которому с должника взыскана заявленная к включению в реестр сумма. Следовательно, довод о необоснованности требования налогового органа опровергается, требование соответствует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включения в реестр. Доводы, связанные с позицией должника, оценены судами, в кассационной инстанции не создают основания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Ким Сергею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