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Осетия-Алания от 11.04.2023, оставленным без изменения постановлением Шестнадцатого арбитражного апелляционного суда от 05.09.2023, заявление удовлетворено: требования включены в третью очередь реестра. Постановлением Арбитражного суда Северо-Кавказского округа от 12.12.2023, определение и постановление апелляционного суда отменены, спор направлен на новое рассмотрение в суд первой инстанции. В кассационной жалобе общество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«Саритат»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