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30.03.2023, оставленным без изменения постановлением постановление Девятого арбитражного апелляционного суда от 11.08.2023 и постановлением Арбитражного суда Московского округа от 03.11.2023, заявления удовлетворены. В кассационной жалобе Ушакова И.В. просит об отмене судебных актов, ссылаясь на вероятностные выводы судов, отсутствие доказательств общности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согласованность действий супругов в вопросах распоряжения принадлежащим им имуществом и неопровержение следующей из статей 35, 45 Семейного кодекса Российской Федерации презумпции расходования спорных сумм на общие нужды. Вопросы доказывания и оценки доказательств, положенные в основу доводов жалобы,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Ушаковой Ирине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