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06.03.2024 обратился в Верховный Суд Российской Федерации с жалобой на определение судьи Верховного Суда Российской Федерации от 16.01.2024 № 305-ЭС23-28136, решение Арбитражного суда города Москвы от 13.01.2023, постановление Девятого арбитражного апелляционного суда от 19.05.2023 и постановление Арбитражного суда Московского округа от 04.10.2023 по делу № А40-275991/2022,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«Техинжсист»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