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03.04.2023, оставленным без изменения постановлением Пятнадцатого арбитражного апелляционного суда от 20.07.2023 и постановлением Арбитражного суда Северо-Кавказского округа от 09.11.2023, в удовлетворении заявления о пересмотре определения о замене кредитора в реестре отказано. В кассационной жалобе Маслов Д.В. просит о пересмотре судебных актов, ссылаясь на игнорирование недобросовестности заменившего в реестре кредитора лица и удовлетворение ранее поданного аналогичного заявления.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заявленного обстоятельства признаков, необходимых в силу части 2 статьи 311 Арбитражного процессуального кодекса Российской Федерации для пересмотра судебного акта и указали на отличие обстоятельств ранее рассмотренного заявления от настоящего.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Маслову Дмитрию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