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26.06.2023, оставленным без изменения постановлением Четвертого арбитражного апелляционного суда от 08.09.2023 и постановлением Арбитражного суда Восточно-Сибирского округа от 16.11.2023, в удовлетворении заявления об исключении из конкурсной массы квартиры отказано. В кассационной жалобе Романюк К.В. просит об отмене судебных актов, ссылаясь на неустановление наличия у Парамонова А.В. иного пригодного для проживания жилого помещения, отсутствие препятствий для признания в отношении квартиры исполнительского иммунитета по факту сдачи ее в наем матерью несовершеннолетнего.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квартира не является местом жительства Парамонова А.В. (наследника должника) в понятии, придаваемом ему статьей 20 Гражданского кодекса Российской Федерации, на момент подачи рассматриваемого заявления, не установлено использование ее наследником в качестве единственного пригодного для проживания жилья при жизни должника. При таких обстоятельствах отказ в предоставлении исполнительского иммунитета не нарушает жилищных прав несовершеннолетнего и в ситуации банкротства умершего соответствует статье 446 Гражданского процессуального кодекса Российской Федерации. Иная оценка условий предоставления исполнительского иммунитета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Романюк Ксении Вагифовне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