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«Объединенная энергетическая компания» (далее – Общество) обратилось в Арбитражный суд города Москвы с исковым заявлением к обществу с ограниченной ответственностью «Элкон» (далее – Компания) о взыскании 1 079 566 рублей 43 копеек неустойки за период с 30.10.2021 по 01.04.2022. в свою очередь, Компания заявила встречное требование о взыскании 10 515 257 рублей 44 копеек задолженности. Решением Арбитражного суда города Москвы от 22.12.2022 первоначальный иск удовлетворен частично, в удовлетворении встречного требования отказано. Постановлением Девятого арбитражного апелляционного суда от 03.04.2023, решение от 22.12.2022 изменено, первоначальный иск удовлетворен частично, встречное требование удовлетворено в полном объеме. Постановлением Арбитражного суда Московского округа от 29.08.2023 решение от 22.12.2022 в неизмененной части и апелляционное постановление 03.04.2023 оставлены без изменений. 2 Впоследствии Компания обратилась в арбитражный суд с заявлением о наложении на Общества судебного штрафа в размере 30 000 рублей за неисполнение решения суда. Определением Арбитражного суда города Москвы от 29.06.2023 в наложении судебного штрафа отказано. Постановлением Девятого арбитражного апелляционного суда от 28.09.2023 определение от 29.06.2023 оставлено без изменения. Постановлением Арбитражного суда Московского округа от 16.11.2023 апелляционное постановление от 28.09.2023 отменено, производство по апелляционной жалобе прекращено. Также суд округа прекратил производство по кассационной жалобе.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процессуального права. В обоснование доводов жалобы заявитель указывает, что у суда имелись правовые основания для наложения на Общество судебного штрафа.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Отменяя апелляционное постановление и прекращая производство по апелляционной, а также по кассационной жалобам, суд округа руководствовался статьями 120, 150, 188, 288, 332 АПК РФ, разъяснениями, изложенными в пункте 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действующим процессуальным законодательством не предусмотрена возможность отдельного обжалования определения суда первой инстанции об отказе в удовлетворении заявления о наложении судебного штрафа, тогда как соответствующие возражения могут быть заявлены только при обжаловании судебного акта, которым закончено рассмотрение дела по существу.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«Элкон»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