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12.04.2023, оставленным без изменения постановлением Пятнадцатого арбитражного апелляционного суда от 31.07.2023 и постановлением Арбитражного суда Северо-Кавказского округа от 09.11.2023, в удовлетворении заявления отказано. В кассационной жалобе Маслов Д.В. просит о пересмотре судебных актов, ссылаясь на погашение требований банка и недобросовестность лица, заменившего банк в реестре.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пунктом 6 статьи 16 Федерального закона от 26.10.2002 № 127-ФЗ «О несостоятельности (банкротстве)» и разъяснениями, данными в пункте 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установили отсутствие предусмотренных законом и подтвержденных надлежащими доказательствами условий для исключения основанного на судебном акте требования из реестра.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Маслову Дмитрию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