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«Стройгазцентр» (далее – ООО «Стройгазцентр», общество, истец)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«Стройнефтегаз» (далее – ООО «Стройнефтегаз», компания, ответчик, заявитель) о взыскании 550 000 руб. неотработанного аванса по договору подряда, 30 502,06 руб. процентов за пользование чужими денежными средствами за период с 10.12.2021 по 23.03.2023 с их начислением и взысканием по день фактической уплаты долга, 133 333,37 руб. неустойки за нарушение срока выполнения работ за период с 31.10.2021 по 19.11.2021. К участию в деле в качестве третьего лица, не заявляющего самостоятельные требования относительно предмета спора, привлечен Вахрушев Лев Павлинович (далее - Вахрушев Л.П.). 2 Решением Арбитражного суда Пермского края от 30.03.2023, оставленным без изменения постановлением Семнадцатого арбитражного апелляционного суда от 21.06.2023, иск удовлетворен. Постановлением Арбитражного суда Уральского округа от 17.11.2023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спорный договор является незаключенным и материалы дела не содержат доказательств получения ответчиком денежных средств от истца в рамках данного договора, в том числе с учетом положений пункта 5 данного договора, согласно которому оплата за работы производится только при условии предоставления ответчиком оригиналов счетов-фактур и полного комплекта исполнительной документации на выполненные работы (пункт 5.1.1.); все платежи по спорному договору осуществляется подрядчиком только путем банковского перевода в рублях на расчетный счет ответчика, указанный в договоре (пункт 5.1.2.).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«Стройгазцентр» (подрядчик) и ООО «Стройнефтегаз» (субподрядчик) подписан договор подряда от 23.08.2021 № 30 на выполнение комплекса работ, поименованного в пункте 2.1 договора, по объекту промышленного назначения (мини-ТЭЦ) на территории комбината ООО «Свеза Уральский». Общая стоимость работ по договору является ориентировочной, но максимальной, предварительно определяется сметным расчетом и составляет 6 666 668,44 руб. (пункт 3.1 договора). Согласно пункту 2.5 договора срок окончания работ – 30.10.2021. В пункте 11.2 договора предусмотрена ответственность субподрядчика за просрочку выполнения строительно-монтажных работ в виде пени в размере 0,1% от цены договора за каждый день просрочки. 3 В силу пункта 12.3 договора о расторжении договора в одностороннем порядке субподрядчик должен быть извещен подрядчиком в срок не позднее 7 календарных дней до даты расторжения. В качестве аванса по договору истец передал ответчику в период с 27.08.2021 по 24.09.2021 денежные средства в общей сумме 550 000 руб., что подтверждается реестром полученных оплат по договору и расходными кассовыми ордерами. В получении денежных средств в реестре расписался Вахрушев Л.П. Уведомлением от 19.11.2021 № 269 истец отказался от договора в связи с истечением срока выполнения работ и предложил ответчику передать фактически выполненный результата работ. Письмом от 09.12.2021 № 287, сославшись на расторжение договора и невыполнение работ, истец потребовал возврата переданных в качестве аванса денежных средств. Поскольку требования истца ответчиком не исполнены общество обратилось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154, 182, 329-330, 333, 395, 408, 432-433, 450.1, 702, 708, 711, 715, 720, 740, 1102 Гражданского кодекса Российской Федерации (далее – ГК РФ), разъяснениями, данными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информационном письме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установив факт заключения сторонами договора субподряда; получения ответчиком аванса по договору через своего работника, занимавшего должность заместителя директора; отказа истца от исполнения договора в одностороннем порядке и отсутствия в материалах дела доказательств выполнения ответчиком работ на перечисленную сумму аванса, удовлетворили требования истца в полном объеме. Отклоняя доводы ответчика, суды исходили из того, что подлинность печати на договоре ответчиком не оспорена, о фальсификации договора в части оттиска печати в порядке статьи 161 АПК РФ не заявлено; Вахрушев Л.П. по состоянию на 23.08.2021 являлся работником ответчика и занимал должность заместителя директора, кроме того, в соответствии со сведениями из ЕГРЮЛ Вахрушев Л.П. является одним из учредителей ответчика; факт получения денежных средств Вахрушевым Л.П., привлеченным к участию в деле в качестве третьего лица, не опровергнут. Доводы кассационной жалобы не свидетельствуют о допущенных судами нарушениях норм материального и процессуального права, которые бы 4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«Стройнефтегаз»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