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30.06.2023, оставленным без изменения постановлением Девятого арбитражного апелляционного суда от 22.08.2023 и постановлением Арбитражного суда Московского округа от 104.11.2023, заявление удовлетворено. В кассационной жалобе Пуресева К.С. просит об отмене судебных актов, ссылаясь на отсутствие условий для недействительности договора, неверное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оспариваемого договора суды установили условия его недействительности в силу пункта 2 статьи 61.2 Федерального закона от 26.10.2002 № 127-ФЗ «О несостоятельности (банкротстве)». Вопрос о начале течения срока исковой давности для финансового управляющего разрешен в соответствии со статьями 200, пунктом 2 статьи 181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Пуресевой Кире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