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13.06.2023, оставленным без изменения постановлением Девятого арбитражного апелляционного суда от 25.08.2023 и постановление Арбитражного суда Московского округа от 07.11.2023, заявление признано обоснованным, в отношении должника введена процедура реструктуризации долгов, требования Федорова Д.А. в размере 134 296 434 рублей 04 копеек включены в третью очередь реестра, назначен финансовый управляющий. В кассационной жалобе Журавлев С.В. просит об отмене судебных актов, ссылаясь на неустановление в рамках дела о взыскании задолженности обстоятельств, необходимых для признания обоснованности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Правомочия на ревизию решения суда общей юрисдикции, на неисполнении которого основано рассматриваемое заявление, у арбитражного суда не имеется, поэтому заявление признано отвечающим критериям статей 213.3, 213.5, 213.6, 213.13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Журавлеву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