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18.08.2023, оставленным без изменения постановлением Девятого арбитражного апелляционного суда от 19.10.2023 и постановлением Арбитражного суда Московского округа от 28.11.2023, заявление банка оставлено без рассмотрения. В кассационной жалобе банк просит об отмене судебных актов, ссылаясь на игнорирование возможности применения аналогии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Оставление заявления без рассмотрения не исключает восстановления и защиты прав, поэтому не создает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«Коммерческий банк «Рублев»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