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решением Арбитражного суда Ростовской области от 18.04.2023, оставленным без изменения постановлением Пятнадцатого арбитражного апелляционного суда от 06.07.2023 и постановлением Арбитражного суда Северо-Кавказского округа от 01.11.2023, иск удовлетворен в части взыскания 819 658 рублей неустойки. В кассационной жалобе общество «Грузовой терминал «Корвет» просит об отмене судебных актов, указывая, что не является ответственным за нарушение лицом, принят неправильный расчет штрафа.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Ответственность за недостоверные сведения о наименовании груза возложена на ответчика как грузоотправителя в силу в силу статьи 16 Соглашения о международном железнодорожном грузовом сообщении. Довод об обязанности третьего лица уплатить неустойку мотивированно отклонен. Суды установили, что неустойка исчислена исходя из провозной платы за перевозку груза, не указанного в накладной, и уменьшена на основании статьи 333 Гражданского кодекса Российской Федерации по заявлению ответчика.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«Грузовой терминал «Корвет»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