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16.05.2023, оставленным без изменения постановлением Девятого арбитражного апелляционного суда от 02.08.2023 и постановлением Арбитражного суда Московского округа от 01.11.2023, во включении требования в реестр отказано, указанное требование учтено как подлежащее удовлетворению за счет имущества должника, оставшегося после удовлетворения требований кредиторов, включенных в реестр. В кассационной жалобе Лысяков А.А. просит об отмене судебных актов, ссылаясь на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об уменьшении неустойки рассмотрен в соответствии с компетенцией, следующей из статьи 333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Лысякову Алексею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