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06.06.2023, оставленным без изменения постановлением Девятого арбитражного апелляционного суда от 30.08.2023 и постановлением Арбитражного суда Московского округа от 03.11.2023, в реестр включено требование в размере 297 925 122 рублей 69 копеек. В кассационной жалобе Лысяков А.А. просит об отмене судебных актов, ссылаясь на неосновательное неосвобождение от ответственности на стоимость утраченного обеспечения, игнорирование недобросовестности кредитора, отсутствие судебного акта об установлении задолженности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 о взыскании с должника как поручителя долгов по кредитным договорам признано отвечающим критериям статей 71, 100 Федерального закона от 26.10.2002 № 127-ФЗ «О несостоятельности (банкротстве)» для включения в реестр. Размер задолженности должника как поручителя соответствует размеру задолженности, включенной в реестр требований основного должника на основании судебного акта. Должник является участником правоотношений по приобретению предмета залога, вследствие чего его довод о применении статьи 10 Гражданского кодекса Российской Федерации является неосновательным. Вопрос о действии поручительства разрешен в самостоятельном споре в пользу его сохранения.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Лысякову Алексею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