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05.05.2023 процедура реализации имущества должника завершена, ФИО1 освобожден от дальнейшего исполнения требований кредиторов. Постановлением Семнадцатого арбитражного апелляционного суда от 27.07.2023, оставленным без изменения постановлением Арбитражного суда Уральского округа от 07.11.2024, определение от 05.05.2023 отменено в части: в отношении должника не применены правила об освобождении от исполнения обязательств перед обществом с ограниченной ответственностью «Уралжилстрой» и ФИО2. В кассационной жалобе ФИО1 просит о пересмотре судебных актов апелляционного и окружного судов,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и погашения задолженности перед кредиторами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Иная оценка заявителем своих действий противоречит установленным обстоятельствам 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АНО АССОЦИАЦИЯ МЕЖРЕГИОНАЛЬНАЯ САМОРЕГУЛИРУЕМАЯ ОРГАНИЗАЦИЯ АРБИТРАЖНЫХ УПРАВЛЯЮЩИХ СОДЕЙСТВИЕ (подробнее) ЗАО ПУБЛИЧНОЕ АКЦИОНЕРНОЕ ОБЩЕСТВО СБЕРБАНК РОССИИ (подробнее) ООО "Интекс" (подробнее) ООО "УралЖилСтрой" (подробнее) ОСП ИНСПЕКЦИЯ ФЕДЕРАЛЬНОЙ НАЛОГОВОЙ СЛУЖБЫ ПО ЛЕНИНСКОМУ РАЙОНУ Г. ЕКАТЕРИНБУРГА (подробнее) Иные лица: ИП Борисов Дмитрий Александрович (подробнее) ООО "СОЮЗТРУБПРОМ-ЕК"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