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«Вторсервисмет» (далее – ООО «Вторсервисмет», общество, истец, заявитель) обратилось в Арбитражный суд Нижегородской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«Борский металлургический завод» (далее – ООО «Борский металлургический завод», компания, ответчик) о передаче чушки латунной ЛС ГОСТ 1020-97 в количестве 636 552 килограмм. Решением Арбитражного суда Нижегородской области от 11.04.2023, оставленным без изменения постановлением Первого арбитражного апелляционного суда от 07.08.2023, в иске отказано. Постановлением Арбитражного суда Волго-Вятского округа от 04.12.2023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ответчиком не представлены первичные документы, свидетельствующие о списании материалов истца в производство; сами по себе акты не являются доказательством передачи результата работ (вновь изготовленной вещи из материалов истца). По мнению заявителя, суды неправильно истолковали договор и распределили обязанность по доказыванию, нарушили статьи 67 , 71 АПК РФ 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«Вторсервисмет» (заказчик) и ООО «Борский металлургический завод» (подрядчик) заключили договор подряда на переработку от 06.04.2020 № 2, по условиям которого подрядчик обязуется выполнить работы по переработке сырья в соответствии с заданием заказчика, а заказчик обязуется принять выполненные работы и оплатить их (пункт 1.1 договора). Согласно пунктам 2.1-2.2 договора стоимость выполненных по договору работ и сроки оплат устанавливаются в соответствующем приложении, являются фиксированной и изменению не подлежит. В стоимость работ, определяемую в приложениях, включены все применимые налоги и сборы, а также расходы подрядчика, связанные с выполнением обязательств по договору. Датой выполнения обязательства по оплате считается дата зачисления средств на расчетный счет исполнителя. В соответствии с пунктом 3.1.2 договора подрядчик обязуется экономно и расчетливо расходовать предоставленное заказчиком сырье, после окончания работ предоставить отчет об его использовании и возвратить остаток, а также отходы от производства. В силу пункта 4.1 договора подрядчик должен передать заказчику за два рабочих дня до начала приемки выполненных работ письменное уведомление об окончании производства работ и о готовности к проведению приемки. Получив такое уведомление, заказчик должен определить дату начала приемки и в течение двух рабочих дней назначить ответственное лицо (рабочую комиссию). В случае, если работы выполнены в соответствии с условиями настоящего договора, проектной документации и действующими нормативными актами, стороны по результатам приемки объекта подписывают акт приемки выполненных работ. В качестве доказательств оплаты работ по переработке сырья в материалы дела представлены платежные поручения на общую сумму 11 353 950 руб. ООО «Вторсервисмет» указало, что свои обязанности по договору выполнило в полном объеме, однако ответчик обязательства по переработке объемов сырья не исполнил. Ненадлежащее исполнение ответчиком обязательств послужило основанием для обращения истца к ответчику с претензией, а затем с настоящим иском в арбитражный суд.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 , 65 , 68 , 71 АПК РФ , руководствуясь статьями 309 - 310 , 702 , 753 Гражданского кодекса Российской Федерации (далее – ГК РФ), установив факт надлежащего исполнения ответчиком обязательств по договору путем отгрузки латунных чушек в адрес контрагентов истца, отказали в иске. Приведенные в кассационной жалобе доводы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«Вторсервисмет»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"ВТОРСЕРВИСМЕТ" (подробнее) Ответчики: ООО "Борский металлургический завод"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