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25.05.2023 в удовлетворении заявления отказано. Десятый арбитражный апелляционный суд постановлением от 17.07.2023 отменил определение от 25.05.2023 и удовлетворил заявление в части. Арбитражный суд Московского округа постановлением от 23.11.2023 отменил постановление апелляционного суда от 17.07.2023 и оставил в силе определение от 25.05.2023. В кассационной жалобе ФИО1 просит об отмене определения и постановления окружного судов, ссылаясь на недоведение необходимой информации об имуществе, нарушающее осуществление в отношении него правомочий собственника.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Ссуды установили отсутствие препятствий в осуществлении правомочий собственника в отношении приобретенного на торгах имущества и отсутствие других нарушений в проведении торгов, влекущих их недействительность в силу статьи 449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АССОЦИАЦИЯ "НАЦИОНАЛЬНАЯ ОРГАНИЗАЦИЯ АРБИТРАЖНЫХ УПРАВЛЯЮЩИХ" (подробнее) ООО "Феникс" (подробнее) ПАО "Сбербанк" (подробнее) СОАУ ЦФО (подробнее) Союз Арбитражных Управляющих "Возрождение"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