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15.08.2023 и постановлением Арбитражного суда Московского округа от 31.10.2023, в удовлетворении заявления отказано. В кассационной жалобе общество просит об отмене судебных актов, ссылаясь на ненадлежащую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по итогу исследования обстоятельств совершения договора установили его реальный характер, исключающий недействительность сделки как в силу статьи 61.2 Федерального закона от 26.10.2002 № 127-ФЗ «О несостоятельности (банкротстве)», так и статей 10, 170 Гражданского кодекса Российской Федерации. Обстоятельства доказывания и оценки доказательств, на которых основаны доводы жалобы, разрешены судами согласно компетенции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«МТС»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