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(далее – должник) последняя обратилась в Арбитражный суд города Санкт-Петербурга и Ленинградской области с заявлением об исключении из конкурсной массы транспортного средства. Определением суда первой инстанции от 28.10.2021, оставленным без изменения постановлениями судов апелляционной инстанции от 25.02.2022 и округа от 27.07.2022, заявление удовлетворено. В кассационной жалобе, поданной в Верховный Суд Российской Федерации, ФИО1 просит отменить принятые по обособленному спору судебные акты, ссылаясь при этом на неправильное применение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Разрешая спор, суды первой и апелляционной инстанций оценили представленные доказательства и, учитывая разъяснения, содержащиеся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пришли к выводу об отсутствии предусмотренных пунктами 2 и 3 статьи 213.25 Федерального закона от 26.10.2002 № 127-ФЗ «О несостоятельности (банкротстве)», абзацем десятым части 1 статьи 446 Гражданского процессуального кодекса Российской Федерации оснований для исключения из конкурсной массы должника спорного имущества. С данным выводом судов впоследствии согласился суд округа. Изложенные в жалобе доводы были предметом рассмотрения судов, не свидетельствуют о неправильном применении ими норм права, сводятся к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Комитет по вопросам законности, правопорядка и безопасности (подробнее) Ответчики: ООО кредитор "Форвард" (подробнее) Иные лица: АО "ЕДИНЫЙ ИНФОРМАЦИОННО-РАСЧЕТНЫЙ ЦЕНТР ПЕТРОЭЛЕКТРОСБЫТ" (подробнее) НАО "Первое коллекторское бюро" (подробнее) ООО "Управляющая компания "Солнечный город" (подробнее) ПАО Банк "Финансовая Корпорация Открытие" (подробнее) ПАО РОСБАНК (подробнее) ПАО "Сбербанк России" (подробнее) ПАО СПб филиал "Росгосстрах Банк" (подробнее) Судьи дела: Капкаев Д.В. (судья) Последние документы по делу: Определение от 10 января 2024 г. по делу № А56-3401/2021 Определение от 20 декабря 2022 г. по делу № А56-3401/2021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