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17.03.2023 в удовлетворении иска отказано в связи с пропуском срока исковой давности, о применении которой заявил ответчик. Пятнадцатый арбитражный апелляционный суд постановлением от 30.06.2023 изменил решение от 17.03.2023: взыскал 995 000 рублей платы. Арбитражный суд Северо-Кавказского округа постановлением от 08.11.2023 постановление апелляционного суда от 30.06.2023 оставил без изменения. В кассационной жалобе компания просит об отмене судебных актов, ссылаясь на неправильное распределение бремени доказывания и 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Постановление апелляционного суда соответствует договору от 03.06.2019 № 534-Т, обстоятельствам его исполнения и статьям 779 , 781 , 199 Гражданского кодекса Российской Федерации. Правила о доказывании и оценке доказательств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«Транспортно-объединенная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 . ФИО1 Суд: Верховный Суд РФ (подробнее) Истцы: ОБЩЕСТВО С ОГРАНИЧЕННОЙ ОТВЕТСТВУЕННОСТЬЮ "ТРАНСПОРТНО-ОБЪЕДИНЕННАЯ КОМПАНИЯ" (подробнее) Ответчики: ООО "Производственная компания "Новочеркасский электровозостроительный завод" (подробнее) Иные лица: ООО "ТРАНСПОРТНО-ОБЪЕДИНЕННАЯ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