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«Интегра-Бурение» (далее – общество) обратилось в Арбитражный суд Тюменской области с иском к обществу с ограниченной ответственностью ТК «Энергосберегающие технологии» о взыскании неустойки (пени) за нарушение срока поставки товара в размере 8 445 600 рублей за период с 15.04.2022 по 27.07.2022. Решением Арбитражного суда Тюменской области от 30.03.2023, оставленным без изменения постановлением Восьмого арбитражного апелляционного суда от 15.06.2023, исковые требования удовлетворены. Арбитражный суд Западно-Сибирского округа постановлением от 21.09.2023 указанные судебные акты отменил, направил дело на новое рассмотрение в суд первой инстанции. Общество обратилось в Верховный Суд Российской Федерации с кассационной жалобой на постановление суда округа, в которой просит его отменить, решение суда первой инстанции и постановление суда апелляционной инстанции оставить в силе. 2 Письмом судьи Верховного Суда Российской Федерации от 09.01.2024 были истребованы материалы дела из Арбитражного суда Тюменской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 факт ненадлежащего исполнения ответчиком (поставщиком) обязательств по поставке товара, суды первой и апелляционной инстанций удовлетворили исковые требования, взыскав неустойку (пени) за нарушение срока поставки товара в размере 8 445 600 рублей за период с 15.04.2022 по 27.07.2022. При этом суды мотивировали неприменение моратория на начисление финансовых санкций,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 текущим характером обязательств, не попадающих под действие моратория. Суд округа, указав, что для целей квалификации требований в качестве текущих или реестровых имеет значение дата возникновения обязанности должника по встречному представлению в своей части обменной сделки (в рассматриваемом случае момент возникновения обязательства по поставке товара), а вывод судов о необходимости учета в целях применения моратория даты нарушения обязательства является ошибочным, направил дело на новое рассмотрение в целях разрешения спора при правильном применении норм материального и процессуального права. Выводы суда округа не противоречат правовой позиции, изложенной в пункте 19 Обзора судебной практики Верховного Суда Российской Федерации № 5 (2017) (утв. Президиумом Верховного Суда РФ 27.12.2017). Доводы общества, изложенные в кассационной жалобе,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3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«Интегра-Бурение»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