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02.02.2023, оставленным без изменения постановлением Девятого арбитражного апелляционного суда от 05.06.2023 и постановлением Арбитражного суда Московского округа от 28.09.202, заявление удовлетворено. В кассационных жалобах Курочкин А.М. и Курочкина Д.А. просят об отмене судебных актов, ссылаясь на неосновательное применение общегражданских оснований недействительности сделки, неправильную оценку обстоятельств совершения договора дарения.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направленность дарения должником недвижимого имущества дочери на уменьшение активов во избежание обращения взыскания на них по обязательствам перед кредиторами, влекущего недействительность договоров в силу статей 10, 168 Гражданского кодекса Российской Федерации. Иная оценка действий заявителя и обязательств перед ним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Курочкину Алексею Михайловичу и Курочкиной Дарье Алексеевне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