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Мищенко Николай Алексеевич (далее – Предприниматель) обратился в Арбитражный суд города Москвы с иском к федеральному государственному унитарному предприятию «Всероссийский научно-исследовательский институт авиационных материалов» Национального исследовательского центра «Курчатовский институт» (далее – Предприятие) о взыскании 79 370 рублей 90 копеек. В свою очередь, Предприятие заявило встречное требование о взыскании 500 000 рублей штрафа.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«ЮгСпецПром» (далее – Общество). Решением Арбитражного суда города Москвы от 06.06.2023, оставленным без изменения постановлением Девятого арбитражного апелляционного суда от 18.08.2023 первоначальный и встречный иски удовлетворены. Постановлением Арбитражного суда Московского округа от 31.10.2023 решение от 06.06.2023 и апелляционное постановление от 18.08.2023 изменены, в удовлетворении встречного иска отказано, в остальной части решение и апелляционное постановление оставлены без изменения. 2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штрафные санкции были обоснованно начислены ввиду неправомерной передачи третьему лицу обязательств по договору.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23.03.2020 между Обществом (поставщик) и Предприятием (покупатель) заключен договор № 32008984415/ДГ-278 согласно которому было поставлено оборудование. Договором предусмотрено удержание гарантийного обязательства в общей сумме 79 370 рублей. Согласно пункту 6.10 договора по истечении гарантийного срока денежные средства в размере 79 370 рублей подлежат возврату. Обществом (цедент) и Предпринимателем (цессионарий) 18.10.2022 заключен договор уступки права требования с Предприятия названной суммы. Указанные обстоятельства послужили основанием для обращения Предпринимателя в арбитражный суд с первоначальным иском. Заявляя встречное требование, Предприятие сослалось на нарушение пункта 6.5 договора, согласно которому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 В случае нарушения указанного требования сторона, передавшая без согласия другой стороны свои права и обязанности по договору, обязана уплатить покупателю штраф 50% от общей стоимости договора, но не менее 500 000 рублей. При этом покупатель вправе потребовать уплаты штрафа в том числе, по своему усмотрению от третьей стороны, которой были переданы права и обязанности по договору. Удовлетворяя требования по первоначальному и встречному искам, суды первой и апелляционной инстанций руководствовались статьями 309, 310, 330, 382, 384, 388, 410, 421 Гражданского кодекса Российской Федерации, разъяснениями, изложенными в постановлении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3 в обязательстве на основании сделки», и исходили из наличия оснований для возврата гарантийного удержания и взыскания штрафа.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изменил решение суда первой инстанции, постановление суда апелляционной инстанции и отказал в удовлетворении встречного иска. Дав толкование пункту 6.5 договора, руководствуясь указанными выше нормами и разъяснениями, суд округа заключил, что стороны договора предусмотрели основания для взыскания штрафа, если поставщик передал исполнение договора иному лицу, вместе с тем полное исполнение обязательств поставщика (включая гарантийные) завершено 15.10.2022, тогда как договор цессии заключен 18.10.2022, в связи с чем перехода обязательств исполнителя по договору со стороны поставщика не допущено.Предприниматель не являлся стороной договора поставки, не принимал на себя обязанности поставщика, оснований для взыскания штрафа на основании пункта 6.5 договора не имеется.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«Всероссийский научно-исследовательский институт авиационных материалов» Национального исследовательского центра «Курчатовский институт»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