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«Русфальц» (далее – ООО «Русфальц», общество, заявитель)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«Аэроком» (далее – ООО «Аэроком», компания) о взыскании 2 451 044,35 руб. задолженности по договору № 018/06/2021/-03 от 18.06.2021, неустойки в размере 440 968,54 руб. К совместному рассмотрению с первоначальным иском был принят встречный иск, уточненный в порядке статьи 49 АПК РФ , о взыскании убытков в виде расходов на устранение недостатков в работах в сумме 1 350 000 руб., расходов на экспертизу в размере 500 000 руб. Решением Арбитражного суда города Москвы от 25.05.2023, оставленным без изменения постановлением Девятого арбитражного апелляционного суда от 25.08.2023, требования по первоначальному иску удовлетворены в части взыскания задолженности, в удовлетворении остальной части иска отказано; встречный иск удовлетворен в полном объеме. Постановлением Арбитражного суда Московского округа от 09.11.2023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дали оценку заключению специалиста № 4547, представленному ООО «Русфальц»; применили закон (пункт 3 статьи 723 Гражданского кодекса Российской Федерации (далее – ГК РФ)), не подлежащий применению; не учли, что в акте 17.03.2022 зафиксированы не недостатки в работах, а последствия возможных недостатков, ООО «Аэроком» не обращалось к ООО «Русфальц» с требованием об устранении конкретных недостатков; наличие недостатков в выполненных ООО «Русфальц» работах со стороны ООО «Аэроком» не доказано; все возможные дефекты получены уже после приема-сдачи работ, в частности ввиду нарушения правил эксплуатации объекта со стороны ООО «Аэроком».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компанией (заказчик) и обществом (подрядчик) был заключен договор подряда № 018/06/2021/-03 от 18.06.2021 на поставку и монтаж кровельной системы RUSFALZR на объекте культурного наследия регионального значения «Металлические конструкции павильонов Центрального здания Всероссийских выставок 1882 и 1896 годов» по адресу: &lt;...&gt;. В обоснование заявленных требований по первоначальному иску общество указало, что надлежащим образом исполнило свои обязательства по договору, работы сданы компании по актам КС-2/КС-3 от 25.12.2021 и приняты без замечаний. Дополнительным соглашением № 1 от 16.11.2021 к основному договору стороны установили, что задолженность компании по договору составляет 3 460 044,35 руб. (пункты 7.1-7.3). Ссылаясь на наличие непогашенной компанией задолженности в сумме 2 451 044,35 руб., общество обратилось в суд с настоящим иском. В обоснование требований по встречному иску компания указала, что в выполненных подрядчиком работах имелись недостатки, о которых последний был уведомлен (письмо № 1103-1 от 11.03.2022). Впоследствии сторонами был подписан акт от 17.03.2022, составленный по результатам осмотра работ и зафиксировавший наличие недостатков. Указанный акт подписан обществом с возражениями, в то же время возражений по части устранения недостатков (14 дней) заявлено не было. Подрядчик выявленные недостатки в установленный срок не устранил, в связи с чем заказчиком в соответствии с пунктом 2 указанного акта была проведена строительно-техническая экспертиза, о которой подрядчик также был уведомлен (письмо № 1504-2 от 15.04.2022). Заключением экспертизы № 172/2022 от 06.06.2022 в выполненных подрядчиком работах были зафиксированы недостатки, от устранения которых общество уклонилось. Ввиду неустранения обществом недостатков компанией к выполнению работ в указанной части были привлечены третьи лица. Стоимость работ по устранению выявленных недостатков, с учетом экспертного заключения, составила 1 350 000 руб., расходы на проведение экспертизы - 500 000 руб. Указанные обстоятельства послужили основанием для предъявления встречных исковых требований о взыскании убытков и стоимости проведённой экспертизы.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 65 , 68 - 69 , 71 , 89 АПК РФ , руководствуясь статьями 15 , 309 - 310 , 330 , 393 , 401 , 421 , 431 , 702 , 711 , 720 - 721 , 723 ГК РФ , разъяснениями, данными в пункте 13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правовой позицией, изложенной в пунктах 13, 16 информационного письма Президиума Высшего Арбитражного Суда Федерации от 24.01.2000 № 51 «Обзор практики разрешения споров строительного подряда», в ответе на вопрос 1 в Обзоре судебной практики Верховного Суда Российской Федерации № 2 (2017), утвержденном Президиумом Верховного Суда Российской Федерации 26.04.2017, установив факт некачественного выполнения подрядчиком работ и уклонения от устранения данных недостатков, отказали в удовлетворении требования общества о взыскании неустойки и удовлетворили встречный иск.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«Русфальц»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"РУСФАЛЬЦ" (подробнее) Ответчики: ООО "Аэроком"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