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«494 Управление начальника работ» (далее – Общество) обратилось в Арбитражный суд города Москвы с иском к федеральному государственному казенному учреждению «Центральное региональное управление жилищного обеспечения» (далее – Учреждение) о взыскании убытков в размере суммы в рублях, эквивалентной 37 803 695 долларов США по курсу ЦБ РФ на день исполнения решения суда. К участию в деле, в качестве третьего лица, не заявляющего самостоятельных требований относительно предмета спора, привлечено Министерство обороны Российской Федерации. Решением Арбитражного суда города Москвы от 31.03.2023, оставленным без изменения постановлением Девятого арбитражного апелляционного суда от 13.07.2023 и постановлением Арбитражного суда Московского округа от 31.10.2023,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не приобрел статус застройщика из-за действий (бездействия) ответчика, в связи с чем истец понес дополнительные расходы.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во исполнение распоряжения Федерального агентства по управлению федеральным имуществом от 07.06.2005 № 735-р между Учреждением (заказчик) и Обществом (инвестор) заключен инвестиционный контракт от 23.06.2005 № 08-8/735 о застройке земельного участка, расположенного по адресу: &lt;...&gt; (далее – контракт). Для целей строительства объекта заказчик обязан предоставить под строительство земельные участки общей площадью 3,115 га, оформленные на правах аренды инвестору (пункты 3.3, 5.1, 6.2.2, 6.2.10 контракта); объем инвестиционного вклада заказчика составляет сумму в рублях эквивалентную 12 572 861 доллару США (пункт 3.3 контракта). В свою очередь, инвестор обязан обеспечить 100% финансирование строительства объекта (за счет собственных, заемных и/или привлеченных средств; пункты 2.3, 6.3.2, 6.3.8 контракта); объем вклада инвестора составляет сумму в рублях, эквивалентную 57 541 721 доллару США (пункты 2.2, 3.2 контракта). В ходе реализации контракта заказчик фактически предоставил три земельных участка под строительство, но в аренду их не оформил. Указанные земельные участки находятся в собственности Российской Федерации и на праве бессрочного (постоянного) пользования у заказчика. Инвестор исполнил свои обязательства, профинансировал и построил жилой комплекс исключительно своими силами и за счет своих средств (собственных и заемных). Между тем отсутствие аренды на земельные участки не позволило инвестору получить статус застройщика, что лишило его права привлекать денежные средства дольщиков в рамках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 стадии строительства, в связи с чем Общество было вынуждено привлечь заемные денежные средства (банковские кредиты), оплачивая их обслуживание, что не были предусмотрены контрактом. По мнение Общества, оплата процентов по кредиту является реальным ущербом, в связи с чем истец обратился в арбитражный суд с настоящими требованиями. Исследовав и оценив по правилам статьи 71 АПК РФ представленные доказательства, руководствуясь статьями 15 , 195 , 196 , 200 , 1069 Гражданского кодекса Российской Федерации, разъяснениями, изложенными в пунктах 12, 15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придя к выводу об отсутствии необходимой совокупности условий для взыскания убытков; уплата процентов по договорам займа не является следствием незаконных действий должностных лиц Учреждения, так как стороны договоров займа самостоятельно установили меру ответственности. Кроме того, Обществом пропущен срок исковой давности по заявленным требованиям, учитывая, что истец знал о содержании условия пункта 6.2.2 контракта, а договоры пользования земельными участками были заключены в 2011 году. Судебными инстанциями принято во внимание, что являясь субъектом предпринимательской деятельности, истец не проявил должной осмотрительности, действуя при этом по своей воле и в своем интересе, приняв тем самым риск наступления неблагоприятных последствий. В подтверждение наличия убытков Общество представило договоры об открытии кредитной линии от 18.11.2011 № 11-1/139, от 28.03.2012 № 12-1/029, от 05.07.2012 № 12-1/064, от 19.09.2013 № 13-1/113, от 10.04.2017 № 17-1/047, от 10.04.2017 № 17-1/046, от 08.08.2016 № 16-1/092, от 13.10.2016 № 16-1/106, от 02.12.2016 № 16-1/121 с инкассовыми поручениями и банковскими ордерами к ним. Между тем из указанных документов следует, что кредиты были получены в целях пополнения оборотных средств.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открытого акционерного общества «494 Управление начальника работ»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ОАО "494 Управление начальника работ" (подробнее) Ответчики: Федеральное государственное казенное учреждение "Центральное территориальное управление имущественных отношений" Министерства обороны Российской Федерации (подробнее) Судьи дела: Чучунова Н.С.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