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положениям пункта 4 части 1 статьи 2915 Арбитражного процессуального кодекса Российской Федерации кассационная жалоба возвращается без рассмотрения по существу, если поступило ходатайство о возвращении или об отзыве кассационной жалобы. Из принципа диспозитивности следует, что процессуальные отношения в арбитражном судопроизводстве возникают, изменяются и прекращаются по инициативе непосредственных участников спорных правоотношений. Данный принцип подразумевает свободу распоряжения лицами, участвующими в деле, принадлежащими им процессуальными правами и средствами защиты. 2 Рассмотрев заявленное ходатайство, судья приходит к выводу о наличии оснований для его удовлетворения и возвращения кассационной жалобы без рассмотрения по существу. Заявитель как участник спорных правоотношений не имеет интереса в рассмотрении кассационной жалобы. Оснований полагать, что заявленный отказ от жалобы не соответствует положениям закона или затрагивает права иных лиц, не имеется. Руководствуясь статьями 184,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«Компания Полярное Сияние» удовлетворить, кассационную жалобу возвратить заявителю без рассмотрения по существу.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