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26.02.2024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Позднее получение судебного акта, направленного в адрес заявителя почтовым отправлением, не является уважительной причиной и не может служить самостоятельным основанием к восстановлению пропущенного процессуального срока. В настоящее время лицо, однажды извещенное о рассмотрении дела судом, обязано самостоятельно отслеживать его движение с использованием сервиса «Картотека арбитражных дел» и несет риск непринятия таких мер (часть 6 статьи 121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«Агро-Стрит»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