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кассационная жалоба подана в Верховный Суд Российской Федерации с ходатайством о восстановлении срока на обжалование. Суд счел ходатайство подлежащим удовлетворению. Руководствуясь статьями 117, 184, 291.2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восстановить публичному акционерному обществу «Территориальная генерирующая компания № 2» срок подачи кассационной жалобы на постановление Второго арбитражного апелляционного суда от 09.06.2023 по делу № А82-14753/2020 Арбитражного суда Ярославской области и постановление Арбитражного суда Волго-Вятского округа от 04.12.2023 по тому же делу. Судья Верховного Суда Российской Федерации Н.А. Ксенофонтова 2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