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удовлетворяя исковые требования, суд апелляционной инстанции, оценив представленные в дело доказательства, руководствуясь положениями Гражданского кодекса Российской Федерации, исходил из наличия у поставщика обязанности возвратить покупателю денежные средства, уплаченные за непоставленный товар. Суд округа поддержал выводы суда апелляционной инстанции. 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2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«Завод «Энерголит»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