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07.07.2023, оставленным без изменения постановлением Десятого арбитражного апелляционного суда от 28.08.2023 и постановлением Арбитражного суда Московского округа от 08.12.2023, заявление удовлетворено. В кассационной жалобе Сундуков В.В. просит об отмене судебных актов, ссылаясь на отсутствие условий для недействительности сделок в силу общих норм гражданского законодательства.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стороны сделок, являясь свойственниками, действовали во вред имеющимся у должника кредиторам, поэтому компетентно признали такие действия выходящими за пределы осуществления гражданских прав и влекущими в силу статей 10, 168 Гражданского кодекса Российской Федерации недействительность сделок.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Сундукову Вячеславу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