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04.04.2023, оставленным без изменения постановлением Девятого арбитражного апелляционного суда от 19.07.2023 и постановлением Арбитражного суда Московского округа от 22.12.2023, заявление удовлетворено. В кассационной жалобе акционерное общество «Сибирская Угольная Энергетическая Компания» просит об отмене судебных актов, ссылаясь на возможность индексации присужденной денежной суммы только с момента вступления судебного акта в законную силу и неучет одного дефляционного месяца при расчете индексации.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Иное толкование статьи 183 Арбитражного процессуального кодекса Российской Федерации в отношении момента начала индексации и неподтвержденность размера индексации с учетом дефляционного месяца не создают названных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«Сибирская Угольная 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