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27.07.2023, оставленным без изменения постановлением Тринадцатого арбитражного апелляционного суда от 11.10.2023 и постановлением Арбитражного суда Северо-Западного округа от 14.12.2023, заявление удовлетворено. В кассационной жалобе Моторина Н.В. просит об отмене судебных актов, ссылаясь на отсутствие обязанности исполнения судебного акта до предъявления к принудительному исполнению.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ответчика об отсутствии обязанности исполнения судебного акта до предъявления его к принудительному исполнению является ошибочным и не освобождает от заявленных последствий неисполнения.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Моториной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