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10.05.2023, оставленным без изменения постановлением Девятого арбитражного апелляционного суда от 01.08.2023 и постановлением Арбитражного суда Московского округа от 26.10.2023, в реестр включено требование кредитора в размере 63 790 643 рублей основного долга, 28 658 447 рублей 98 копеек процентов, 12 679 657 рублей 24 копеек штрафных санкций. В кассационной жалобе Лысяков А.А. просит об отмене судебных актов, ссылаясь на нарушение правил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возникновения заемного обязательства должника перед кредитором, суды признали их отвечающими критериям статей 71, 100 Федерального закона от 26.10.2002 № 127-ФЗ «О несостоятельности (банкротстве)» для включения основанного на них требования в реестр. Возражения должника рассмотрены и признаны не влияющими на его обязательство по возврату денежных средств.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Лысякову Алексею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