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30.06.2023, оставленным без изменения постановлением Девятого арбитражного апелляционного суда от 25.08.2023 и постановлением Арбитражного суда Московского округа от 20.11.2023, в удовлетворении иска отказано. В кассационной жалобе Евразийская патентная организация просит об отмене судебных актов, ссылаясь на игнорирование ненадлежащего контроля проездного документа пассажира в начальном пункте отправления из Российской Федерации до начала осуществления перевозки.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заявленные расходы не состоят в причинно- следственной связи с исполнением ответчиком договора воздушной перевозки пассажира, поэтому отклонили требования в силу статей 15, 393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Евразийской патентной организации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