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08.06.2023, оставленным без изменения постановлением Пятнадцатого арбитражного апелляционного суда от 04.09.2023 и постановлением Арбитражного суда Северо-Кавказского округа от 01.11.2023, в удовлетворении заявления отказано. В кассационной жалобе Измайлова Л.В. просит об отмене судебных актов, ссылаясь на неправильную оценку обстоятельств заключения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вреда имущественным интересам должника вследствие совершения сделок по актуальной цене, с согласия залогодержателя, поэтому признали отсутствие условий для их недействительности. Для установления рыночной цены реализованного имущества суд назначал экспертизы, повторная из которых признана надлежащим доказательством. Отличная от судебной оценка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Измайловой Людмиле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