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17.05.2022, оставленным без изменения постановлением Тринадцатого арбитражного апелляционного суда от 13.06.2023 и постановлением Арбитражного суда Северо-Западного округа от 26.10.2023, в иске отказано. В кассационной жалобе ФИО1 просит об отмене судебных актов вследствие допущенных нарушений норм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исследования доказательств, включающих заключение назначенной апелляционным судом для проверки заявления истца о фальсификации доказательств судебной экспертизы, признали недоказанным наличие спорной задолженности. Действия судов, которые заявитель считает процессуальными нарушениями, таковыми не являются и не влекут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"ЖЕЛЕЗНЫЕ ДОРОГИ, СТРОИТЕЛЬСТВО И ПРОЕКТИРОВАНИЕ" (подробнее) Ответчики: ООО "ТОРГОВЫЙ ДОМ "КАРЕЛИЯ НЕРУД" (подробнее) Иные лица: 13 ААС (подробнее) АНО "Северо-Западная экспертно-криминалистическая компания" (подробнее) ИП Аргус-экспертиза/ Ветрова Е. С. (подробнее) ООО "Ленинградское экспертное общество" (подробнее) ООО "МНОГОПРОФИЛЬНЫЙ ЦЕНТР СУДЕБНЫХ ЭКСПЕРТИЗ" (подробнее) ООО "Северо-Западный Центр судебно-правовой экспертизы" (подробнее) ООО "Экспертно-криминалистическое бюро"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